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0"/>
      </w:pPr>
      <w:r>
        <w:rPr>
          <w:b w:val="1"/>
          <w:bCs w:val="1"/>
        </w:rPr>
        <w:t xml:space="preserve">Протокол</w:t>
      </w:r>
    </w:p>
    <w:p>
      <w:pPr>
        <w:jc w:val="center"/>
        <w:spacing w:after="0"/>
      </w:pPr>
      <w:r>
        <w:rPr>
          <w:b w:val="1"/>
          <w:bCs w:val="1"/>
        </w:rPr>
        <w:t xml:space="preserve">подведения итогов процедуры</w:t>
      </w:r>
    </w:p>
    <w:p>
      <w:pPr>
        <w:jc w:val="center"/>
        <w:spacing w:after="0"/>
      </w:pPr>
      <w:r>
        <w:rPr>
          <w:b w:val="1"/>
          <w:bCs w:val="1"/>
        </w:rPr>
        <w:t xml:space="preserve">32312997424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«04» декабря 2023г.</w:t>
            </w:r>
          </w:p>
        </w:tc>
      </w:tr>
    </w:tbl>
    <w:p>
      <w:pPr/>
      <w:r>
        <w:rPr>
          <w:b w:val="1"/>
          <w:bCs w:val="1"/>
        </w:rPr>
        <w:t xml:space="preserve">Организатором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  <w:br/>
      <w:r>
        <w:rPr>
          <w:b w:val="1"/>
          <w:bCs w:val="1"/>
        </w:rPr>
        <w:t xml:space="preserve">Заказчиком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</w:p>
    <w:p/>
    <w:p>
      <w:pPr/>
      <w:r>
        <w:rPr>
          <w:b w:val="1"/>
          <w:bCs w:val="1"/>
        </w:rPr>
        <w:t xml:space="preserve">Способ закупки: </w:t>
      </w:r>
    </w:p>
    <w:p>
      <w:pPr/>
      <w:r>
        <w:rPr>
          <w:b w:val="0"/>
          <w:bCs w:val="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Наименование процедуры: </w:t>
      </w:r>
      <w:r>
        <w:rPr>
          <w:b w:val="0"/>
          <w:bCs w:val="0"/>
        </w:rPr>
        <w:t xml:space="preserve">Поставка компьютерного оборудования для нужд государственного автономного учреждения культуры Владимирской области "Областной Дворец культуры и искусства"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Предмет договора лота: </w:t>
      </w:r>
      <w:r>
        <w:rPr>
          <w:b w:val="0"/>
          <w:bCs w:val="0"/>
        </w:rPr>
        <w:t xml:space="preserve">Поставка компьютерного оборудования для нужд государственного автономного учреждения культуры Владимирской области "Областной Дворец культуры и искусства"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Начальная (максимальная) цена договора, лота: </w:t>
      </w:r>
      <w:r>
        <w:rPr>
          <w:b w:val="0"/>
          <w:bCs w:val="0"/>
        </w:rPr>
        <w:t xml:space="preserve">992 990.00 (с учетом НДС) в валюте - Российский рубль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0"/>
          <w:bCs w:val="0"/>
        </w:rPr>
        <w:t xml:space="preserve">Рассмотрение документации и утверждение закупки путем проведения в период с 23.11.2023 по 04.12.2023 (завершение приема заявок 04.12.2023 в 10:00 (время московское)) способом закупки «Запрос котировок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Поставка компьютерного оборудования для нужд государственного автономного учреждения культуры Владимирской области "Областной Дворец культуры и искусства".</w:t>
      </w:r>
      <w:br/>
      <w:br/>
      <w:r>
        <w:rPr>
          <w:b w:val="0"/>
          <w:bCs w:val="0"/>
        </w:rPr>
        <w:t xml:space="preserve">Процедура утверждения закупки проведена 23.11.2023 в 15:01 (московское время) по адресу: 600015, Г.. ВЛАДИМИР, УЛ. ДИКТОРА ЛЕВИТАНА, Д.4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0"/>
          <w:bCs w:val="0"/>
        </w:rPr>
        <w:t xml:space="preserve">Срок исполнения договора: </w:t>
      </w:r>
      <w:r>
        <w:rPr>
          <w:b w:val="0"/>
          <w:bCs w:val="0"/>
        </w:rPr>
        <w:t xml:space="preserve">-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6124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Поставка компьютерного оборудования для нужд государственного автономного учреждения культуры Владимирской области "Областной Дворец культуры и искусства"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Штука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26.2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26.2</w:t>
            </w:r>
          </w:p>
        </w:tc>
      </w:tr>
    </w:tbl>
    <w:p>
      <w:pPr/>
      <w:r>
        <w:rPr>
          <w:b w:val="0"/>
          <w:bCs w:val="0"/>
        </w:rPr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«23» ноября 2023г. на сайте АО «Единая электронная торговая площадка» (АО «ЕЭТП»), по адресу в сети «Интернет»: </w:t>
      </w:r>
      <w:hyperlink r:id="rId7" w:history="1">
        <w:r>
          <w:t xml:space="preserve">https://corp.roseltorg.ru</w:t>
        </w:r>
      </w:hyperlink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Были рассмотрены заявки следующих участников процедуры:</w:t>
      </w:r>
    </w:p>
    <w:tbl>
      <w:tblGrid>
        <w:gridCol w:w="1500" w:type="dxa"/>
        <w:gridCol w:w="5000" w:type="dxa"/>
        <w:gridCol w:w="5000" w:type="dxa"/>
        <w:gridCol w:w="5000" w:type="dxa"/>
        <w:gridCol w:w="5000" w:type="dxa"/>
      </w:tblGrid>
      <w:tblPr>
        <w:tblStyle w:val="style31139"/>
      </w:tblP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регистрации заявок (МСК)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Результат рассмотрения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Основание для решения</w:t>
            </w:r>
          </w:p>
        </w:tc>
      </w:t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/>
              <w:t xml:space="preserve">1195454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"СИСТЕМЫ СВЕТА И ЗВУКА", 675016, Амурская область, г.о. ГОРОД БЛАГОВЕЩЕНСК, Г БЛАГОВЕЩЕНСК, УЛ ЛОМОНОСОВА, Д. 197, КВ. 129, ИНН 2801181465, КПП 280101001, ОГРН 1132801000573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04.12.2023 04:19:22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Допущена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Состав документов заявителя соответствует требованиям</w:t>
            </w:r>
          </w:p>
        </w:tc>
      </w:t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/>
              <w:t xml:space="preserve">1195585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"ШКОЛЬНЫЙ ДОМ", 603148, ОБЛАСТЬ НИЖЕГОРОДСКАЯ, Г. НИЖНИЙ НОВГОРОД, УЛ. ЧААДАЕВА, Д. 44Б, К. 1, ОФИС 8, ИНН 5257152798, КПП 525901001, ОГРН 1155257005969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04.12.2023 09:35:16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Допущена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Состав документов заявителя соответствует требованиям</w:t>
            </w:r>
          </w:p>
        </w:tc>
      </w:tr>
    </w:tbl>
    <w:p>
      <w:pPr/>
      <w:r>
        <w:rPr/>
        <w:t xml:space="preserve">Для участия в процедуре было подано 2 заявки от участников, не допущено 0 заявок, место не присвоено 0 заявок.</w:t>
      </w:r>
    </w:p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Сопоставление ценовых предложений допущенных участников процедуры:</w:t>
      </w:r>
    </w:p>
    <w:tbl>
      <w:tblGrid>
        <w:gridCol w:w="1600" w:type="dxa"/>
        <w:gridCol w:w="5000" w:type="dxa"/>
        <w:gridCol w:w="5000" w:type="dxa"/>
        <w:gridCol w:w="5000" w:type="dxa"/>
        <w:gridCol w:w="5000" w:type="dxa"/>
      </w:tblGrid>
      <w:tblPr>
        <w:tblStyle w:val="style91737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1195454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"СИСТЕМЫ СВЕТА И ЗВУКА", 675016, Амурская область, г.о. ГОРОД БЛАГОВЕЩЕНСК, Г БЛАГОВЕЩЕНСК, УЛ ЛОМОНОСОВА, Д. 197, КВ. 129, ИНН 2801181465, КПП 280101001, ОГРН 1132801000573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964 990.00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964 990.00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1195585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"ШКОЛЬНЫЙ ДОМ", 603148, ОБЛАСТЬ НИЖЕГОРОДСКАЯ, Г. НИЖНИЙ НОВГОРОД, УЛ. ЧААДАЕВА, Д. 44Б, К. 1, ОФИС 8, ИНН 5257152798, КПП 525901001, ОГРН 1155257005969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960 000.00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960 000.00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Grid>
        <w:gridCol w:w="1600" w:type="dxa"/>
        <w:gridCol w:w="5000" w:type="dxa"/>
        <w:gridCol w:w="1600" w:type="dxa"/>
        <w:gridCol w:w="1600" w:type="dxa"/>
        <w:gridCol w:w="1600" w:type="dxa"/>
        <w:gridCol w:w="1600" w:type="dxa"/>
      </w:tblGrid>
      <w:tblPr>
        <w:tblStyle w:val="style34897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Место заявки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1195454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"СИСТЕМЫ СВЕТА И ЗВУКА", 675016, Амурская область, г.о. ГОРОД БЛАГОВЕЩЕНСК, Г БЛАГОВЕЩЕНСК, УЛ ЛОМОНОСОВА, Д. 197, КВ. 129, ИНН 2801181465, КПП 280101001, ОГРН 1132801000573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964 990.00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964 990.00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1195585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ОБЩЕСТВО С ОГРАНИЧЕННОЙ ОТВЕТСТВЕННОСТЬЮ "ШКОЛЬНЫЙ ДОМ", 603148, ОБЛАСТЬ НИЖЕГОРОДСКАЯ, Г. НИЖНИЙ НОВГОРОД, УЛ. ЧААДАЕВА, Д. 44Б, К. 1, ОФИС 8, ИНН 5257152798, КПП 525901001, ОГРН 1155257005969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960 000.00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960 000.00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Сведения о комиссии: Закупочная комиссия</w:t>
      </w:r>
    </w:p>
    <w:p>
      <w:pPr/>
      <w:r>
        <w:rPr>
          <w:b w:val="1"/>
          <w:bCs w:val="1"/>
        </w:rPr>
        <w:t xml:space="preserve">На заседании Комиссии по утверждению закупки путем запроса котировок в электронной форме на Единой Электронной Торговой Площадке (ЕЭТП) https://corp.roseltorg.ru, Поставка компьютерного оборудования для нужд государственного автономного учреждения культуры Владимирской области "Областной Дворец культуры и искусства", в составе:</w:t>
      </w:r>
    </w:p>
    <w:tbl>
      <w:tblGrid>
        <w:gridCol w:w="5000" w:type="dxa"/>
        <w:gridCol w:w="5000" w:type="dxa"/>
      </w:tblGrid>
      <w:tblPr>
        <w:tblStyle w:val="style26016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Должность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Председатель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</w:tbl>
    <w:tbl>
      <w:tblGrid>
        <w:gridCol w:w="10000" w:type="dxa"/>
      </w:tblGrid>
      <w:tblPr>
        <w:tblStyle w:val="style99135"/>
      </w:tblP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присутствовали 5 из 5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отсутствовали - нет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Кворум составляет 100 %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Заседание Комиссии правомочно. 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Секретарь комиссии: </w:t>
            </w:r>
          </w:p>
        </w:tc>
      </w:tr>
    </w:tbl>
    <w:p>
      <w:pPr>
        <w:keepLines w:val="1"/>
        <w:spacing w:after="96"/>
        <w:numPr>
          <w:ilvl w:val="0"/>
          <w:numId w:val="4"/>
        </w:numPr>
      </w:pPr>
      <w:r>
        <w:rPr/>
        <w:t xml:space="preserve">Сведения о решении членов комиссии по каждой заявке: Закупочная комиссия</w:t>
      </w:r>
    </w:p>
    <w:p>
      <w:pPr/>
      <w:r>
        <w:rPr>
          <w:b w:val="1"/>
          <w:bCs w:val="1"/>
        </w:rPr>
        <w:t xml:space="preserve">Заявка №1195454 (ОБЩЕСТВО С ОГРАНИЧЕННОЙ ОТВЕТСТВЕННОСТЬЮ "СИСТЕМЫ СВЕТА И ЗВУКА")</w:t>
      </w:r>
    </w:p>
    <w:tbl>
      <w:tblGrid>
        <w:gridCol w:w="5000" w:type="dxa"/>
        <w:gridCol w:w="5000" w:type="dxa"/>
      </w:tblGrid>
      <w:tblPr>
        <w:tblStyle w:val="style48636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Решение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 (Председатель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место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/>
      <w:r>
        <w:rPr>
          <w:b w:val="1"/>
          <w:bCs w:val="1"/>
        </w:rPr>
        <w:t xml:space="preserve">Заявка №1195585 (ОБЩЕСТВО С ОГРАНИЧЕННОЙ ОТВЕТСТВЕННОСТЬЮ "ШКОЛЬНЫЙ ДОМ")</w:t>
      </w:r>
    </w:p>
    <w:tbl>
      <w:tblGrid>
        <w:gridCol w:w="5000" w:type="dxa"/>
        <w:gridCol w:w="5000" w:type="dxa"/>
      </w:tblGrid>
      <w:tblPr>
        <w:tblStyle w:val="style72321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Решение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 (Председатель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По результатам подведения итогов принято решение заключить договор с ОБЩЕСТВО С ОГРАНИЧЕННОЙ ОТВЕТСТВЕННОСТЬЮ "ШКОЛЬНЫЙ ДОМ"</w:t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7" w:history="1">
        <w:r>
          <w:t xml:space="preserve">https://corp.roseltorg.ru</w:t>
        </w:r>
      </w:hyperlink>
      <w:r>
        <w:rPr/>
        <w:t xml:space="preserve"> в сроки, предусмотренные №223-ФЗ и действующим Положением о закупках.</w:t>
      </w:r>
    </w:p>
    <w:p>
      <w:pPr/>
      <w:r>
        <w:rPr>
          <w:b w:val="1"/>
          <w:bCs w:val="1"/>
        </w:rPr>
        <w:t xml:space="preserve">     Члены комиссии, присутствующие на заседании:</w:t>
      </w:r>
    </w:p>
    <w:tbl>
      <w:tblGrid>
        <w:gridCol w:w="5000" w:type="dxa"/>
        <w:gridCol w:w="5000" w:type="dxa"/>
        <w:gridCol w:w="5000" w:type="dxa"/>
      </w:tblGrid>
      <w:tblPr>
        <w:tblStyle w:val="style82222"/>
      </w:tblP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Председатель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Торощина Светлана Васильевна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Коломиец Анна Леонидовна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Романова Марина Владимировна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Козлова Екатерина Романовна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Фураева Галина Павловна</w:t>
            </w:r>
          </w:p>
        </w:tc>
      </w:tr>
    </w:tbl>
    <w:sectPr>
      <w:footerReference w:type="default" r:id="rId8"/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8503.937007874016" w:type="dxa"/>
      <w:gridCol w:w="1417.3228346456694" w:type="dxa"/>
    </w:tblGrid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2" w:color="555555"/>
      </w:tblBorders>
    </w:tblPr>
    <w:tr>
      <w:trPr/>
      <w:tc>
        <w:tcPr>
          <w:tcW w:w="8503.937007874016" w:type="dxa"/>
        </w:tcPr>
        <w:p>
          <w:pPr>
            <w:jc w:val="left"/>
          </w:pPr>
          <w:r>
            <w:rPr/>
            <w:t xml:space="preserve">Протокол подведения итогов процедуры №32312997424 от 04.12.2023г.</w:t>
          </w:r>
        </w:p>
      </w:tc>
      <w:tc>
        <w:tcPr>
          <w:tcW w:w="1417.3228346456694" w:type="dxa"/>
        </w:tcPr>
        <w:p>
          <w:pPr>
            <w:jc w:val="right"/>
          </w:pPr>
          <w:r>
            <w:t xml:space="preserve">стр.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FBC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962E7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6124">
    <w:name w:val="style6124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31139">
    <w:name w:val="style31139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91737">
    <w:name w:val="style91737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34897">
    <w:name w:val="style34897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26016">
    <w:name w:val="style26016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99135">
    <w:name w:val="style99135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style48636">
    <w:name w:val="style48636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72321">
    <w:name w:val="style72321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82222">
    <w:name w:val="style82222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rp.roseltorg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2023-12-04T14:57:48+03:00</dcterms:created>
  <dcterms:modified xsi:type="dcterms:W3CDTF">2023-12-04T14:57:48+03:00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